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15" w:rsidRDefault="00952C15" w:rsidP="00952C15">
      <w:pPr>
        <w:pStyle w:val="a3"/>
        <w:jc w:val="both"/>
      </w:pPr>
      <w:r>
        <w:rPr>
          <w:rStyle w:val="a4"/>
          <w:i/>
          <w:iCs/>
          <w:sz w:val="30"/>
          <w:szCs w:val="30"/>
        </w:rPr>
        <w:t>Нормативная база и   материалы по ФГОС детей с ОВЗ</w:t>
      </w:r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 xml:space="preserve">В настоящее  время </w:t>
      </w:r>
      <w:proofErr w:type="spellStart"/>
      <w:r>
        <w:rPr>
          <w:sz w:val="30"/>
          <w:szCs w:val="30"/>
        </w:rPr>
        <w:t>Минобрнауки</w:t>
      </w:r>
      <w:proofErr w:type="spellEnd"/>
      <w:r>
        <w:rPr>
          <w:sz w:val="30"/>
          <w:szCs w:val="30"/>
        </w:rPr>
        <w:t xml:space="preserve"> России принято ряд нормативных документов по вопросам инклюзивного образования, ряд документов находятся пока в формате проектов. Это:</w:t>
      </w:r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1.</w:t>
      </w:r>
      <w:hyperlink r:id="rId5" w:history="1">
        <w:r>
          <w:rPr>
            <w:rStyle w:val="a5"/>
            <w:sz w:val="30"/>
            <w:szCs w:val="30"/>
          </w:rPr>
          <w:t xml:space="preserve">Концепция Федерального государственного образовательного стандарта для </w:t>
        </w:r>
        <w:proofErr w:type="gramStart"/>
        <w:r>
          <w:rPr>
            <w:rStyle w:val="a5"/>
            <w:sz w:val="30"/>
            <w:szCs w:val="30"/>
          </w:rPr>
          <w:t>обучающихся</w:t>
        </w:r>
        <w:proofErr w:type="gramEnd"/>
        <w:r>
          <w:rPr>
            <w:rStyle w:val="a5"/>
            <w:sz w:val="30"/>
            <w:szCs w:val="30"/>
          </w:rPr>
          <w:t xml:space="preserve"> с ограниченными возможностями здоровья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2.</w:t>
      </w:r>
      <w:hyperlink r:id="rId6" w:history="1">
        <w:r>
          <w:rPr>
            <w:rStyle w:val="a5"/>
            <w:sz w:val="30"/>
            <w:szCs w:val="30"/>
          </w:rPr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>
          <w:rPr>
            <w:rStyle w:val="a5"/>
            <w:sz w:val="30"/>
            <w:szCs w:val="30"/>
          </w:rPr>
          <w:t>государтвеннного</w:t>
        </w:r>
        <w:proofErr w:type="spellEnd"/>
        <w:r>
          <w:rPr>
            <w:rStyle w:val="a5"/>
            <w:sz w:val="30"/>
            <w:szCs w:val="30"/>
          </w:rPr>
          <w:t xml:space="preserve"> образовательного стандарта образования </w:t>
        </w:r>
        <w:proofErr w:type="gramStart"/>
        <w:r>
          <w:rPr>
            <w:rStyle w:val="a5"/>
            <w:sz w:val="30"/>
            <w:szCs w:val="30"/>
          </w:rPr>
          <w:t>обучающихся</w:t>
        </w:r>
        <w:proofErr w:type="gramEnd"/>
        <w:r>
          <w:rPr>
            <w:rStyle w:val="a5"/>
            <w:sz w:val="30"/>
            <w:szCs w:val="30"/>
          </w:rPr>
          <w:t xml:space="preserve"> с умственной отсталостью (интеллектуальными нарушениями)»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3.</w:t>
      </w:r>
      <w:hyperlink r:id="rId7" w:history="1">
        <w:r>
          <w:rPr>
            <w:rStyle w:val="a5"/>
            <w:sz w:val="30"/>
            <w:szCs w:val="30"/>
          </w:rPr>
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>
          <w:rPr>
            <w:rStyle w:val="a5"/>
            <w:sz w:val="30"/>
            <w:szCs w:val="30"/>
          </w:rPr>
          <w:t>обучающихся</w:t>
        </w:r>
        <w:proofErr w:type="gramEnd"/>
        <w:r>
          <w:rPr>
            <w:rStyle w:val="a5"/>
            <w:sz w:val="30"/>
            <w:szCs w:val="30"/>
          </w:rPr>
          <w:t xml:space="preserve"> с ограниченными возможностями здоровья»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— </w:t>
      </w:r>
      <w:hyperlink r:id="rId8" w:history="1">
        <w:r>
          <w:rPr>
            <w:rStyle w:val="a5"/>
            <w:sz w:val="30"/>
            <w:szCs w:val="30"/>
          </w:rPr>
          <w:t>для глухих детей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— </w:t>
      </w:r>
      <w:hyperlink r:id="rId9" w:history="1">
        <w:r>
          <w:rPr>
            <w:rStyle w:val="a5"/>
            <w:sz w:val="30"/>
            <w:szCs w:val="30"/>
          </w:rPr>
          <w:t>для слабослышащих и позднооглохших детей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— </w:t>
      </w:r>
      <w:hyperlink r:id="rId10" w:history="1">
        <w:r>
          <w:rPr>
            <w:rStyle w:val="a5"/>
            <w:sz w:val="30"/>
            <w:szCs w:val="30"/>
          </w:rPr>
          <w:t>для слепых детей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— </w:t>
      </w:r>
      <w:hyperlink r:id="rId11" w:history="1">
        <w:r>
          <w:rPr>
            <w:rStyle w:val="a5"/>
            <w:sz w:val="30"/>
            <w:szCs w:val="30"/>
          </w:rPr>
          <w:t>для слабовидящих детей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— </w:t>
      </w:r>
      <w:hyperlink r:id="rId12" w:history="1">
        <w:r>
          <w:rPr>
            <w:rStyle w:val="a5"/>
            <w:sz w:val="30"/>
            <w:szCs w:val="30"/>
          </w:rPr>
          <w:t>для детей с тяжелыми нарушениями речи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— </w:t>
      </w:r>
      <w:hyperlink r:id="rId13" w:history="1">
        <w:r>
          <w:rPr>
            <w:rStyle w:val="a5"/>
            <w:sz w:val="30"/>
            <w:szCs w:val="30"/>
          </w:rPr>
          <w:t>для детей с нарушением опорно-двигательного аппарата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— </w:t>
      </w:r>
      <w:hyperlink r:id="rId14" w:history="1">
        <w:r>
          <w:rPr>
            <w:rStyle w:val="a5"/>
            <w:sz w:val="30"/>
            <w:szCs w:val="30"/>
          </w:rPr>
          <w:t>для детей с задержкой психического развития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— </w:t>
      </w:r>
      <w:hyperlink r:id="rId15" w:history="1">
        <w:r>
          <w:rPr>
            <w:rStyle w:val="a5"/>
            <w:sz w:val="30"/>
            <w:szCs w:val="30"/>
          </w:rPr>
          <w:t>для умственно отсталых детей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— </w:t>
      </w:r>
      <w:hyperlink r:id="rId16" w:history="1">
        <w:r>
          <w:rPr>
            <w:rStyle w:val="a5"/>
            <w:sz w:val="30"/>
            <w:szCs w:val="30"/>
          </w:rPr>
          <w:t xml:space="preserve">для детей с расстройствами </w:t>
        </w:r>
        <w:proofErr w:type="spellStart"/>
        <w:r>
          <w:rPr>
            <w:rStyle w:val="a5"/>
            <w:sz w:val="30"/>
            <w:szCs w:val="30"/>
          </w:rPr>
          <w:t>аутистического</w:t>
        </w:r>
        <w:proofErr w:type="spellEnd"/>
        <w:r>
          <w:rPr>
            <w:rStyle w:val="a5"/>
            <w:sz w:val="30"/>
            <w:szCs w:val="30"/>
          </w:rPr>
          <w:t xml:space="preserve"> спектра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5. Примерные адаптивные основные общеобразовательные программы:</w:t>
      </w:r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>- для глухих детей</w:t>
      </w:r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lastRenderedPageBreak/>
        <w:t xml:space="preserve">- </w:t>
      </w:r>
      <w:hyperlink r:id="rId17" w:history="1">
        <w:r>
          <w:rPr>
            <w:rStyle w:val="a5"/>
            <w:sz w:val="30"/>
            <w:szCs w:val="30"/>
          </w:rPr>
          <w:t>для слабослышащих и позднооглохших детей</w:t>
        </w:r>
      </w:hyperlink>
    </w:p>
    <w:p w:rsidR="00952C15" w:rsidRDefault="00952C15" w:rsidP="00952C15">
      <w:pPr>
        <w:pStyle w:val="a3"/>
        <w:jc w:val="both"/>
      </w:pPr>
      <w:r>
        <w:rPr>
          <w:sz w:val="30"/>
          <w:szCs w:val="30"/>
        </w:rPr>
        <w:t xml:space="preserve">- </w:t>
      </w:r>
      <w:hyperlink r:id="rId18" w:history="1">
        <w:r>
          <w:rPr>
            <w:rStyle w:val="a5"/>
            <w:sz w:val="30"/>
            <w:szCs w:val="30"/>
          </w:rPr>
          <w:t>для слепых детей</w:t>
        </w:r>
      </w:hyperlink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hyperlink r:id="rId19" w:history="1"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для слабослышащих и позднооглохших детей</w:t>
        </w:r>
      </w:hyperlink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hyperlink r:id="rId20" w:history="1"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для слепых детей</w:t>
        </w:r>
      </w:hyperlink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hyperlink r:id="rId21" w:history="1"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для слабовидящих детей</w:t>
        </w:r>
      </w:hyperlink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hyperlink r:id="rId22" w:history="1"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для детей с тяжелыми нарушениями речи</w:t>
        </w:r>
      </w:hyperlink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hyperlink r:id="rId23" w:history="1"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для детей </w:t>
        </w:r>
        <w:proofErr w:type="gramStart"/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в</w:t>
        </w:r>
        <w:proofErr w:type="gramEnd"/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 нарушением опорно-двигательного аппарата</w:t>
        </w:r>
      </w:hyperlink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hyperlink r:id="rId24" w:history="1"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для детей с задержкой психического развития</w:t>
        </w:r>
      </w:hyperlink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hyperlink r:id="rId25" w:history="1"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для умственно отсталых детей</w:t>
        </w:r>
      </w:hyperlink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hyperlink r:id="rId26" w:history="1"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для детей с расстройствами </w:t>
        </w:r>
        <w:proofErr w:type="spellStart"/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аутистического</w:t>
        </w:r>
        <w:proofErr w:type="spellEnd"/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 спектра</w:t>
        </w:r>
      </w:hyperlink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7.Письмо </w:t>
      </w:r>
      <w:proofErr w:type="spellStart"/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Минобрнауки</w:t>
      </w:r>
      <w:proofErr w:type="spellEnd"/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России от 28.10.2014 г. №. № ВК-2270/07 «О сохранении системы специализированного коррекционного образования»</w:t>
      </w:r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8.Письмо </w:t>
      </w:r>
      <w:proofErr w:type="spellStart"/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Минобрнауки</w:t>
      </w:r>
      <w:proofErr w:type="spellEnd"/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9</w:t>
      </w:r>
      <w:proofErr w:type="gramEnd"/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>.Правовое регулирование инклюзивного образования в Федеральном законе «Об образовании в РФ» — статья</w:t>
      </w:r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5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Источник:</w:t>
      </w:r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http://pedsovet.org/content/view/24927/251/</w:t>
        </w:r>
      </w:hyperlink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http://fgos-ovz.herzen.spb.ru/?page_id=574</w:t>
        </w:r>
      </w:hyperlink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Информационно-методический портал по инклюзивному</w:t>
        </w:r>
        <w:proofErr w:type="gramStart"/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 .</w:t>
        </w:r>
        <w:proofErr w:type="gramEnd"/>
        <w:r w:rsidRPr="00952C1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.</w:t>
        </w:r>
      </w:hyperlink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>(http://edu-open.ru/Default.aspx?tabid=342)</w:t>
      </w:r>
    </w:p>
    <w:p w:rsidR="00952C15" w:rsidRPr="00952C15" w:rsidRDefault="00952C15" w:rsidP="0095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5">
        <w:rPr>
          <w:rFonts w:ascii="Times New Roman" w:eastAsia="Times New Roman" w:hAnsi="Times New Roman" w:cs="Times New Roman"/>
          <w:sz w:val="30"/>
          <w:szCs w:val="30"/>
          <w:lang w:eastAsia="ru-RU"/>
        </w:rPr>
        <w:t>http://tass.ru/obschestvo/1986816</w:t>
      </w:r>
    </w:p>
    <w:sectPr w:rsidR="00952C15" w:rsidRPr="00952C15" w:rsidSect="0036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3C8"/>
    <w:multiLevelType w:val="multilevel"/>
    <w:tmpl w:val="5B5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C15"/>
    <w:rsid w:val="003357AB"/>
    <w:rsid w:val="003633C9"/>
    <w:rsid w:val="0095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C15"/>
    <w:rPr>
      <w:b/>
      <w:bCs/>
    </w:rPr>
  </w:style>
  <w:style w:type="character" w:styleId="a5">
    <w:name w:val="Hyperlink"/>
    <w:basedOn w:val="a0"/>
    <w:uiPriority w:val="99"/>
    <w:semiHidden/>
    <w:unhideWhenUsed/>
    <w:rsid w:val="00952C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C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C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2C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2C1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1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5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6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1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0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1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3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0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6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1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5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9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1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9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5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1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1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1.pdf" TargetMode="External"/><Relationship Id="rId13" Type="http://schemas.openxmlformats.org/officeDocument/2006/relationships/hyperlink" Target="http://minobr.gov-murman.ru/files/Lows/Gener_edu/OVZ/06.pdf" TargetMode="External"/><Relationship Id="rId18" Type="http://schemas.openxmlformats.org/officeDocument/2006/relationships/hyperlink" Target="http://minobr.gov-murman.ru/files/OVZ/programmy/03_PrAOOP_slepye_03_04_2105.pdf" TargetMode="External"/><Relationship Id="rId26" Type="http://schemas.openxmlformats.org/officeDocument/2006/relationships/hyperlink" Target="http://minobr.gov-murman.ru/files/OVZ/programmy/08_PrAOOP_RAS_03_04_20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obr.gov-murman.ru/files/OVZ/programmy/04_PrAOOP_slabovid_03_04_2015.pdf" TargetMode="External"/><Relationship Id="rId7" Type="http://schemas.openxmlformats.org/officeDocument/2006/relationships/hyperlink" Target="http://minobr.gov-murman.ru/files/OVZ/Prikaz_%E2%84%96_1598_ot_19.12.2014.pdf" TargetMode="External"/><Relationship Id="rId12" Type="http://schemas.openxmlformats.org/officeDocument/2006/relationships/hyperlink" Target="http://minobr.gov-murman.ru/files/Lows/Gener_edu/OVZ/05.pdf" TargetMode="External"/><Relationship Id="rId17" Type="http://schemas.openxmlformats.org/officeDocument/2006/relationships/hyperlink" Target="http://minobr.gov-murman.ru/files/OVZ/programmy/02_PrAOOP_slabosl_03_04_2015.pdf" TargetMode="External"/><Relationship Id="rId25" Type="http://schemas.openxmlformats.org/officeDocument/2006/relationships/hyperlink" Target="http://minobr.gov-murman.ru/files/OVZ/programmy/09_PrAOOP_UO_03_04_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obr.gov-murman.ru/files/Lows/Gener_edu/OVZ/09.pdf" TargetMode="External"/><Relationship Id="rId20" Type="http://schemas.openxmlformats.org/officeDocument/2006/relationships/hyperlink" Target="http://minobr.gov-murman.ru/files/OVZ/programmy/03_PrAOOP_slepye_03_04_2105.pdf" TargetMode="External"/><Relationship Id="rId29" Type="http://schemas.openxmlformats.org/officeDocument/2006/relationships/hyperlink" Target="https://www.google.ru/url?sa=t&amp;rct=j&amp;q=&amp;esrc=s&amp;source=web&amp;cd=44&amp;ved=0CCwQFjADOCg&amp;url=http%3A%2F%2Fedu-open.ru%2FDefault.aspx%3Ftabid%3D342&amp;ei=XvtKVdC4KcuqsQHm-IH4Aw&amp;usg=AFQjCNFZ4Qa0raqe77ChpDE5vFmf2bR83Q&amp;bvm=bv.92765956,d.bGg&amp;cad=rj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%E2%84%96_1599_ot_19.12.2014.pdf" TargetMode="External"/><Relationship Id="rId11" Type="http://schemas.openxmlformats.org/officeDocument/2006/relationships/hyperlink" Target="http://minobr.gov-murman.ru/files/Lows/Gener_edu/OVZ/04.pdf" TargetMode="External"/><Relationship Id="rId24" Type="http://schemas.openxmlformats.org/officeDocument/2006/relationships/hyperlink" Target="http://minobr.gov-murman.ru/files/OVZ/programmy/07_PRAOOP_ZPR_03_04_2015.pdf" TargetMode="External"/><Relationship Id="rId5" Type="http://schemas.openxmlformats.org/officeDocument/2006/relationships/hyperlink" Target="http://minobr.gov-murman.ru/files/Lows/Gener_edu/OVZ/Cons_FGOS_OVZ.pdf" TargetMode="External"/><Relationship Id="rId15" Type="http://schemas.openxmlformats.org/officeDocument/2006/relationships/hyperlink" Target="http://minobr.gov-murman.ru/files/Lows/Gener_edu/OVZ/08.pdf" TargetMode="External"/><Relationship Id="rId23" Type="http://schemas.openxmlformats.org/officeDocument/2006/relationships/hyperlink" Target="http://minobr.gov-murman.ru/files/OVZ/programmy/06_PrAOOP_NODA_03_04_2015.pdf" TargetMode="External"/><Relationship Id="rId28" Type="http://schemas.openxmlformats.org/officeDocument/2006/relationships/hyperlink" Target="http://fgos-ovz.herzen.spb.ru/?page_id=574" TargetMode="External"/><Relationship Id="rId10" Type="http://schemas.openxmlformats.org/officeDocument/2006/relationships/hyperlink" Target="http://minobr.gov-murman.ru/files/Lows/Gener_edu/OVZ/03.pdf" TargetMode="External"/><Relationship Id="rId19" Type="http://schemas.openxmlformats.org/officeDocument/2006/relationships/hyperlink" Target="http://minobr.gov-murman.ru/files/OVZ/programmy/02_PrAOOP_slabosl_03_04_2015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Lows/Gener_edu/OVZ/02.pdf" TargetMode="External"/><Relationship Id="rId14" Type="http://schemas.openxmlformats.org/officeDocument/2006/relationships/hyperlink" Target="http://minobr.gov-murman.ru/files/Lows/Gener_edu/OVZ/07.pdf" TargetMode="External"/><Relationship Id="rId22" Type="http://schemas.openxmlformats.org/officeDocument/2006/relationships/hyperlink" Target="http://minobr.gov-murman.ru/files/OVZ/programmy/05_PrAOOP_TNR_03_04_2015.pdf" TargetMode="External"/><Relationship Id="rId27" Type="http://schemas.openxmlformats.org/officeDocument/2006/relationships/hyperlink" Target="http://pedsovet.org/content/view/24927/25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2</cp:revision>
  <dcterms:created xsi:type="dcterms:W3CDTF">2016-09-14T17:59:00Z</dcterms:created>
  <dcterms:modified xsi:type="dcterms:W3CDTF">2016-09-14T18:09:00Z</dcterms:modified>
</cp:coreProperties>
</file>